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4F91" w14:textId="77777777" w:rsidR="00555754" w:rsidRDefault="00555754" w:rsidP="005557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it-IT"/>
        </w:rPr>
      </w:pPr>
      <w:r>
        <w:rPr>
          <w:rFonts w:cs="Arial"/>
          <w:b/>
          <w:noProof/>
          <w:sz w:val="24"/>
          <w:lang w:val="it-IT"/>
        </w:rPr>
        <w:t>SA WG2 Meeting #S2-164</w:t>
      </w:r>
      <w:r>
        <w:rPr>
          <w:rFonts w:cs="Arial"/>
          <w:b/>
          <w:noProof/>
          <w:sz w:val="24"/>
          <w:lang w:val="it-IT"/>
        </w:rPr>
        <w:tab/>
        <w:t>S2-2407450</w:t>
      </w:r>
    </w:p>
    <w:p w14:paraId="5320C0C3" w14:textId="77777777" w:rsidR="00555754" w:rsidRDefault="00555754" w:rsidP="0055575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it-IT"/>
        </w:rPr>
      </w:pPr>
      <w:r>
        <w:rPr>
          <w:rFonts w:cs="Arial"/>
          <w:b/>
          <w:noProof/>
          <w:sz w:val="24"/>
          <w:lang w:val="it-IT"/>
        </w:rPr>
        <w:t>19 - 23 August, 2024, Maastricht, Netherlands</w:t>
      </w:r>
    </w:p>
    <w:p w14:paraId="681ECFE5" w14:textId="099924AD" w:rsidR="00555754" w:rsidRPr="00555754" w:rsidRDefault="00555754" w:rsidP="005557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it-IT"/>
        </w:rPr>
      </w:pPr>
    </w:p>
    <w:p w14:paraId="6D7BF4B8" w14:textId="77777777" w:rsidR="00555754" w:rsidRDefault="00555754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</w:p>
    <w:p w14:paraId="0A576C18" w14:textId="011A6AB3" w:rsidR="00F844E2" w:rsidRPr="00415A01" w:rsidRDefault="00F844E2" w:rsidP="00F844E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6E7343">
        <w:rPr>
          <w:b/>
          <w:noProof/>
          <w:sz w:val="24"/>
          <w:lang w:val="it-IT"/>
        </w:rPr>
        <w:t>3GPP SA3</w:t>
      </w:r>
      <w:r w:rsidR="00415A01">
        <w:rPr>
          <w:b/>
          <w:noProof/>
          <w:sz w:val="24"/>
          <w:lang w:val="it-IT"/>
        </w:rPr>
        <w:t>#</w:t>
      </w:r>
      <w:r>
        <w:rPr>
          <w:b/>
          <w:noProof/>
          <w:sz w:val="24"/>
          <w:lang w:val="it-IT"/>
        </w:rPr>
        <w:t>94</w:t>
      </w:r>
      <w:r w:rsidR="00415A01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 w:rsidR="00423ED3">
        <w:rPr>
          <w:b/>
          <w:i/>
          <w:noProof/>
          <w:sz w:val="28"/>
          <w:lang w:val="it-IT"/>
        </w:rPr>
        <w:t>502</w:t>
      </w:r>
    </w:p>
    <w:p w14:paraId="56DA893E" w14:textId="77777777" w:rsidR="00F844E2" w:rsidRDefault="00F844E2" w:rsidP="00F844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2FD7C9E0" w14:textId="14BE4651" w:rsidR="008D0D1B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2C0C25AA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="00202622">
        <w:rPr>
          <w:rFonts w:ascii="Arial" w:hAnsi="Arial" w:cs="Arial"/>
          <w:b/>
          <w:sz w:val="20"/>
        </w:rPr>
        <w:t xml:space="preserve">Reply </w:t>
      </w:r>
      <w:r w:rsidRPr="00B213DE">
        <w:rPr>
          <w:rFonts w:ascii="Arial" w:hAnsi="Arial" w:cs="Arial"/>
          <w:b/>
          <w:sz w:val="20"/>
        </w:rPr>
        <w:t>LS</w:t>
      </w:r>
      <w:r w:rsidR="00F44865" w:rsidRPr="00B213DE">
        <w:rPr>
          <w:rFonts w:ascii="Arial" w:hAnsi="Arial" w:cs="Arial"/>
          <w:b/>
          <w:sz w:val="20"/>
        </w:rPr>
        <w:t xml:space="preserve"> </w:t>
      </w:r>
      <w:r w:rsidR="00423ED3">
        <w:rPr>
          <w:rFonts w:ascii="Arial" w:hAnsi="Arial" w:cs="Arial"/>
          <w:b/>
          <w:sz w:val="20"/>
        </w:rPr>
        <w:t xml:space="preserve">on </w:t>
      </w:r>
      <w:r w:rsidR="00423ED3" w:rsidRPr="00423ED3">
        <w:rPr>
          <w:rFonts w:ascii="Arial" w:hAnsi="Arial" w:cs="Arial"/>
          <w:b/>
          <w:sz w:val="20"/>
        </w:rPr>
        <w:t>LI considerations for TR 33.757</w:t>
      </w:r>
    </w:p>
    <w:p w14:paraId="36215A18" w14:textId="697BDCA1" w:rsidR="008D0D1B" w:rsidRPr="00B213DE" w:rsidRDefault="005F4A65" w:rsidP="00202622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415A01" w:rsidRPr="00415A01">
        <w:rPr>
          <w:rFonts w:ascii="Arial" w:hAnsi="Arial" w:cs="Arial"/>
          <w:b/>
          <w:bCs/>
          <w:i/>
          <w:sz w:val="20"/>
        </w:rPr>
        <w:t>S3</w:t>
      </w:r>
      <w:r w:rsidR="00415A01" w:rsidRPr="00415A01">
        <w:rPr>
          <w:rFonts w:ascii="Arial" w:hAnsi="Arial" w:cs="Arial"/>
          <w:b/>
          <w:bCs/>
          <w:sz w:val="20"/>
        </w:rPr>
        <w:t>-242376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56B0DE09" w:rsidR="008D0D1B" w:rsidRPr="00B213DE" w:rsidRDefault="005F4A65">
      <w:pPr>
        <w:spacing w:after="60"/>
        <w:ind w:left="1985" w:hanging="1985"/>
        <w:rPr>
          <w:rFonts w:ascii="Arial" w:eastAsia="SimSun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r w:rsidR="00423ED3">
        <w:rPr>
          <w:rFonts w:ascii="Arial" w:hAnsi="Arial" w:cs="Arial"/>
          <w:b/>
          <w:bCs/>
          <w:sz w:val="20"/>
        </w:rPr>
        <w:t>LI19</w:t>
      </w:r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1F992712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202622">
        <w:rPr>
          <w:rFonts w:ascii="Arial" w:hAnsi="Arial" w:cs="Arial"/>
          <w:b/>
          <w:sz w:val="20"/>
          <w:lang w:val="fr-CA"/>
        </w:rPr>
        <w:t>SA3-LI</w:t>
      </w:r>
    </w:p>
    <w:p w14:paraId="4241F442" w14:textId="55475980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sz w:val="20"/>
          <w:lang w:val="it-IT"/>
        </w:rPr>
        <w:t>SA</w:t>
      </w:r>
      <w:r w:rsidR="00423ED3">
        <w:rPr>
          <w:rFonts w:ascii="Arial" w:hAnsi="Arial" w:cs="Arial"/>
          <w:b/>
          <w:sz w:val="20"/>
          <w:lang w:val="it-IT"/>
        </w:rPr>
        <w:t>3</w:t>
      </w:r>
    </w:p>
    <w:p w14:paraId="7744669C" w14:textId="125438B9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202622">
        <w:rPr>
          <w:rFonts w:ascii="Arial" w:hAnsi="Arial" w:cs="Arial"/>
          <w:b/>
          <w:bCs/>
          <w:sz w:val="20"/>
          <w:lang w:val="it-IT"/>
        </w:rPr>
        <w:t>SA</w:t>
      </w:r>
      <w:r w:rsidR="00423ED3">
        <w:rPr>
          <w:rFonts w:ascii="Arial" w:hAnsi="Arial" w:cs="Arial"/>
          <w:b/>
          <w:bCs/>
          <w:sz w:val="20"/>
          <w:lang w:val="it-IT"/>
        </w:rPr>
        <w:t>2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07DE5D1F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Contact person:</w:t>
      </w:r>
      <w:r w:rsidRPr="00B213DE">
        <w:rPr>
          <w:rFonts w:ascii="Arial" w:hAnsi="Arial" w:cs="Arial"/>
          <w:b/>
          <w:bCs/>
          <w:sz w:val="20"/>
        </w:rPr>
        <w:tab/>
      </w:r>
      <w:r w:rsidR="00F16F33">
        <w:rPr>
          <w:rFonts w:ascii="Arial" w:hAnsi="Arial" w:cs="Arial"/>
          <w:b/>
          <w:bCs/>
          <w:sz w:val="20"/>
        </w:rPr>
        <w:t>Mark Canterbury</w:t>
      </w:r>
    </w:p>
    <w:p w14:paraId="554B3966" w14:textId="2B0F2862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  <w:r w:rsidR="00F16F33">
        <w:rPr>
          <w:rFonts w:ascii="Arial" w:hAnsi="Arial" w:cs="Arial"/>
          <w:b/>
          <w:bCs/>
          <w:sz w:val="20"/>
        </w:rPr>
        <w:t>mark</w:t>
      </w:r>
      <w:r w:rsidR="00D75F1D">
        <w:rPr>
          <w:rFonts w:ascii="Arial" w:hAnsi="Arial" w:cs="Arial"/>
          <w:b/>
          <w:bCs/>
          <w:sz w:val="20"/>
        </w:rPr>
        <w:t>c</w:t>
      </w:r>
      <w:r w:rsidR="00F16F33">
        <w:rPr>
          <w:rFonts w:ascii="Arial" w:hAnsi="Arial" w:cs="Arial"/>
          <w:b/>
          <w:bCs/>
          <w:sz w:val="20"/>
        </w:rPr>
        <w:t>@tencastle.com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11011E4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72F37370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Cs/>
          <w:sz w:val="20"/>
        </w:rPr>
      </w:pPr>
      <w:r w:rsidRPr="00B213DE">
        <w:rPr>
          <w:rFonts w:ascii="Arial" w:hAnsi="Arial" w:cs="Arial"/>
          <w:b/>
          <w:sz w:val="20"/>
        </w:rPr>
        <w:t>Attachments:</w:t>
      </w:r>
      <w:r w:rsidRPr="00B213DE">
        <w:rPr>
          <w:rFonts w:ascii="Arial" w:hAnsi="Arial" w:cs="Arial"/>
          <w:bCs/>
          <w:sz w:val="20"/>
        </w:rPr>
        <w:tab/>
      </w:r>
    </w:p>
    <w:p w14:paraId="00A0943D" w14:textId="77777777" w:rsidR="008D0D1B" w:rsidRPr="00AF0508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Overall description</w:t>
      </w:r>
    </w:p>
    <w:p w14:paraId="36475747" w14:textId="34E0AF14" w:rsidR="00A35970" w:rsidRPr="00A35970" w:rsidRDefault="00202622" w:rsidP="000779A1">
      <w:pPr>
        <w:tabs>
          <w:tab w:val="left" w:pos="5103"/>
        </w:tabs>
        <w:spacing w:after="120"/>
        <w:rPr>
          <w:rStyle w:val="IvDbodytextChar"/>
          <w:sz w:val="20"/>
        </w:rPr>
      </w:pPr>
      <w:r w:rsidRPr="00A35970">
        <w:rPr>
          <w:rStyle w:val="IvDbodytextChar"/>
          <w:sz w:val="20"/>
        </w:rPr>
        <w:t>SA3-LI kindly thanks SA</w:t>
      </w:r>
      <w:r w:rsidR="00423ED3">
        <w:rPr>
          <w:rStyle w:val="IvDbodytextChar"/>
          <w:sz w:val="20"/>
        </w:rPr>
        <w:t>3</w:t>
      </w:r>
      <w:r w:rsidRPr="00A35970">
        <w:rPr>
          <w:rStyle w:val="IvDbodytextChar"/>
          <w:sz w:val="20"/>
        </w:rPr>
        <w:t xml:space="preserve"> for their LS</w:t>
      </w:r>
      <w:r w:rsidR="00423ED3">
        <w:rPr>
          <w:rStyle w:val="IvDbodytextChar"/>
          <w:sz w:val="20"/>
        </w:rPr>
        <w:t>, and for adding LI considerations to TR 33.757.</w:t>
      </w:r>
    </w:p>
    <w:p w14:paraId="7E8EADC2" w14:textId="6D21A64E" w:rsidR="00423ED3" w:rsidRDefault="00423ED3" w:rsidP="009458BD">
      <w:pPr>
        <w:tabs>
          <w:tab w:val="left" w:pos="5103"/>
        </w:tabs>
        <w:spacing w:after="120"/>
        <w:rPr>
          <w:rFonts w:ascii="Arial" w:eastAsia="DengXian" w:hAnsi="Arial" w:cs="Arial"/>
          <w:sz w:val="20"/>
          <w:szCs w:val="20"/>
          <w:lang w:eastAsia="en-GB"/>
        </w:rPr>
      </w:pPr>
      <w:r>
        <w:rPr>
          <w:rFonts w:ascii="Arial" w:eastAsia="DengXian" w:hAnsi="Arial" w:cs="Arial"/>
          <w:sz w:val="20"/>
          <w:szCs w:val="20"/>
          <w:lang w:eastAsia="en-GB"/>
        </w:rPr>
        <w:t>Regarding TR 33.757 Key Issue #</w:t>
      </w:r>
      <w:r w:rsidR="00897988">
        <w:rPr>
          <w:rFonts w:ascii="Arial" w:eastAsia="DengXian" w:hAnsi="Arial" w:cs="Arial"/>
          <w:sz w:val="20"/>
          <w:szCs w:val="20"/>
          <w:lang w:eastAsia="en-GB"/>
        </w:rPr>
        <w:t>3</w:t>
      </w:r>
      <w:r>
        <w:rPr>
          <w:rFonts w:ascii="Arial" w:eastAsia="DengXian" w:hAnsi="Arial" w:cs="Arial"/>
          <w:sz w:val="20"/>
          <w:szCs w:val="20"/>
          <w:lang w:eastAsia="en-GB"/>
        </w:rPr>
        <w:t xml:space="preserve"> (SUPI privacy), SA3-LI is grateful for SA3’s clarifications</w:t>
      </w:r>
      <w:r w:rsidR="00C840BF">
        <w:rPr>
          <w:rFonts w:ascii="Arial" w:eastAsia="DengXian" w:hAnsi="Arial" w:cs="Arial"/>
          <w:sz w:val="20"/>
          <w:szCs w:val="20"/>
          <w:lang w:eastAsia="en-GB"/>
        </w:rPr>
        <w:t xml:space="preserve"> (i</w:t>
      </w:r>
      <w:r>
        <w:rPr>
          <w:rFonts w:ascii="Arial" w:eastAsia="DengXian" w:hAnsi="Arial" w:cs="Arial"/>
          <w:sz w:val="20"/>
          <w:szCs w:val="20"/>
          <w:lang w:eastAsia="en-GB"/>
        </w:rPr>
        <w:t>n particular that fo</w:t>
      </w:r>
      <w:r w:rsidRPr="00423ED3">
        <w:rPr>
          <w:rFonts w:ascii="Arial" w:eastAsia="DengXian" w:hAnsi="Arial" w:cs="Arial"/>
          <w:sz w:val="20"/>
          <w:szCs w:val="20"/>
          <w:lang w:eastAsia="en-GB"/>
        </w:rPr>
        <w:t>r the purposes of this study it is assumed that both the hosting PLMN and the hosted NPN belong to the same regulatory domain</w:t>
      </w:r>
      <w:r w:rsidR="00C840BF">
        <w:rPr>
          <w:rFonts w:ascii="Arial" w:eastAsia="DengXian" w:hAnsi="Arial" w:cs="Arial"/>
          <w:sz w:val="20"/>
          <w:szCs w:val="20"/>
          <w:lang w:eastAsia="en-GB"/>
        </w:rPr>
        <w:t xml:space="preserve">) and for undertaking to ensure that either SUPI-based LI is supported or that the feature is optional to deploy. </w:t>
      </w:r>
    </w:p>
    <w:p w14:paraId="5B1C05DF" w14:textId="129D7863" w:rsidR="00897988" w:rsidRDefault="00897988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Regarding TR 33.757 Key Issue #1 (</w:t>
      </w:r>
      <w:r w:rsidRPr="00897988">
        <w:rPr>
          <w:rStyle w:val="IvDbodytextChar"/>
          <w:rFonts w:eastAsia="DengXian"/>
          <w:spacing w:val="0"/>
          <w:sz w:val="20"/>
          <w:szCs w:val="20"/>
          <w:lang w:eastAsia="en-GB"/>
        </w:rPr>
        <w:t>Security for dedicated UPF interacting with PLMN through N4 interface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), SA3-LI notes following question:</w:t>
      </w:r>
    </w:p>
    <w:p w14:paraId="456BAE44" w14:textId="77777777" w:rsidR="00897988" w:rsidRDefault="00897988" w:rsidP="00897988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ascii="Arial" w:eastAsia="DengXian" w:hAnsi="Arial" w:cs="Arial"/>
          <w:sz w:val="20"/>
          <w:szCs w:val="20"/>
          <w:lang w:eastAsia="en-GB"/>
        </w:rPr>
      </w:pPr>
      <w:r w:rsidRPr="00A35970">
        <w:rPr>
          <w:rFonts w:ascii="Arial" w:eastAsia="DengXian" w:hAnsi="Arial" w:cs="Arial"/>
          <w:b/>
          <w:sz w:val="20"/>
          <w:szCs w:val="20"/>
          <w:lang w:eastAsia="en-GB"/>
        </w:rPr>
        <w:t>Question 1:</w:t>
      </w:r>
      <w:r w:rsidRPr="00A35970">
        <w:rPr>
          <w:rFonts w:ascii="Arial" w:eastAsia="DengXian" w:hAnsi="Arial" w:cs="Arial"/>
          <w:sz w:val="20"/>
          <w:szCs w:val="20"/>
          <w:lang w:eastAsia="en-GB"/>
        </w:rPr>
        <w:t xml:space="preserve"> </w:t>
      </w:r>
      <w:r w:rsidRPr="00423ED3">
        <w:rPr>
          <w:rFonts w:ascii="Arial" w:eastAsia="DengXian" w:hAnsi="Arial" w:cs="Arial"/>
          <w:sz w:val="20"/>
          <w:szCs w:val="20"/>
          <w:lang w:eastAsia="en-GB"/>
        </w:rPr>
        <w:t>SA3 would like to ask SA3-LI to clarify what the detailed issues and specific impacts the proxy related mechanisms may bring for the LI_T2/LI_T3 interfaces.</w:t>
      </w:r>
    </w:p>
    <w:p w14:paraId="0AED4D39" w14:textId="5E91F0AF" w:rsidR="00897988" w:rsidRDefault="00897988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SA3-LI is pleased to attempt to provide the necessary clarifications below.</w:t>
      </w:r>
    </w:p>
    <w:p w14:paraId="52A2158C" w14:textId="1B7D7111" w:rsidR="00CF5D7D" w:rsidRDefault="00897988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LI_T2 and LI_T3 are known as “triggering” interfaces. In this context, </w:t>
      </w:r>
      <w:r w:rsidR="00415A01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e.g. LI_T3 is 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found between the LI function in the SMF (the “</w:t>
      </w:r>
      <w:r w:rsidR="00A946B8">
        <w:rPr>
          <w:rStyle w:val="IvDbodytextChar"/>
          <w:rFonts w:eastAsia="DengXian"/>
          <w:spacing w:val="0"/>
          <w:sz w:val="20"/>
          <w:szCs w:val="20"/>
          <w:lang w:eastAsia="en-GB"/>
        </w:rPr>
        <w:t>CC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-TF”) and the LI function in the UPF (“CC-POI”). The triggering interfaces serve a similar purpose to N4 and operate in parallel to it, in that they enable the </w:t>
      </w:r>
      <w:r w:rsidR="00A946B8">
        <w:rPr>
          <w:rStyle w:val="IvDbodytextChar"/>
          <w:rFonts w:eastAsia="DengXian"/>
          <w:spacing w:val="0"/>
          <w:sz w:val="20"/>
          <w:szCs w:val="20"/>
          <w:lang w:eastAsia="en-GB"/>
        </w:rPr>
        <w:t>CC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-TF in the SMF to manage interception within the CC-POI in the UPF. A more complete view of the architecture can be found in TS 33.127 clause 6.2.3, while a description of the protocols involved can be found in TS 33.128 clause 6.2.3. </w:t>
      </w:r>
    </w:p>
    <w:p w14:paraId="47765661" w14:textId="40D7E492" w:rsidR="00897988" w:rsidRDefault="00CF5D7D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For convenience, the relevant architectural view from TS 33.127 is reproduced below</w:t>
      </w:r>
      <w:r w:rsidR="00FA6BD6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which shows LI_T</w:t>
      </w:r>
      <w:r w:rsidR="002F6C90">
        <w:rPr>
          <w:rStyle w:val="IvDbodytextChar"/>
          <w:rFonts w:eastAsia="DengXian"/>
          <w:spacing w:val="0"/>
          <w:sz w:val="20"/>
          <w:szCs w:val="20"/>
          <w:lang w:eastAsia="en-GB"/>
        </w:rPr>
        <w:t>3</w:t>
      </w:r>
      <w:r w:rsidR="00F43D52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in context</w:t>
      </w:r>
      <w:r w:rsidR="00FA6BD6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(LI_T</w:t>
      </w:r>
      <w:r w:rsidR="002F6C90">
        <w:rPr>
          <w:rStyle w:val="IvDbodytextChar"/>
          <w:rFonts w:eastAsia="DengXian"/>
          <w:spacing w:val="0"/>
          <w:sz w:val="20"/>
          <w:szCs w:val="20"/>
          <w:lang w:eastAsia="en-GB"/>
        </w:rPr>
        <w:t>2</w:t>
      </w:r>
      <w:r w:rsidR="00FA6BD6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is not shown)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.</w:t>
      </w:r>
    </w:p>
    <w:p w14:paraId="566B7BE2" w14:textId="333A1D20" w:rsidR="00CF5D7D" w:rsidRDefault="00CF5D7D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 w:rsidRPr="00CF5D7D">
        <w:rPr>
          <w:rStyle w:val="IvDbodytextChar"/>
          <w:rFonts w:eastAsia="DengXian"/>
          <w:noProof/>
          <w:spacing w:val="0"/>
          <w:sz w:val="20"/>
          <w:szCs w:val="20"/>
          <w:lang w:eastAsia="en-GB"/>
        </w:rPr>
        <w:lastRenderedPageBreak/>
        <w:drawing>
          <wp:inline distT="0" distB="0" distL="0" distR="0" wp14:anchorId="577C228D" wp14:editId="50465177">
            <wp:extent cx="5770669" cy="5753734"/>
            <wp:effectExtent l="0" t="0" r="1905" b="0"/>
            <wp:docPr id="5979770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9770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0669" cy="575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50803" w14:textId="0B725747" w:rsidR="00CF5D7D" w:rsidRDefault="00CF5D7D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Concretely, t</w:t>
      </w:r>
      <w:r w:rsidR="00897988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his approach means that the </w:t>
      </w:r>
      <w:r w:rsidR="001F5E7A">
        <w:rPr>
          <w:rStyle w:val="IvDbodytextChar"/>
          <w:rFonts w:eastAsia="DengXian"/>
          <w:spacing w:val="0"/>
          <w:sz w:val="20"/>
          <w:szCs w:val="20"/>
          <w:lang w:eastAsia="en-GB"/>
        </w:rPr>
        <w:t>CC</w:t>
      </w:r>
      <w:r w:rsidR="00897988">
        <w:rPr>
          <w:rStyle w:val="IvDbodytextChar"/>
          <w:rFonts w:eastAsia="DengXian"/>
          <w:spacing w:val="0"/>
          <w:sz w:val="20"/>
          <w:szCs w:val="20"/>
          <w:lang w:eastAsia="en-GB"/>
        </w:rPr>
        <w:t>-TF in the SMF needs to be able to send and receive HTTPS messages to the CC-POI in the UPF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, secured by mutual TL</w:t>
      </w:r>
      <w:r w:rsidR="006E5D30">
        <w:rPr>
          <w:rStyle w:val="IvDbodytextChar"/>
          <w:rFonts w:eastAsia="DengXian"/>
          <w:spacing w:val="0"/>
          <w:sz w:val="20"/>
          <w:szCs w:val="20"/>
          <w:lang w:eastAsia="en-GB"/>
        </w:rPr>
        <w:t>S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. SA3-LI’s understanding is that TR 33.757 is considering placing proxies or gateways between the SMF and UPF in order to perform topology hiding in one or both directions. SA3-LI is concerned that this may impact on the </w:t>
      </w:r>
      <w:r w:rsidR="001F5E7A">
        <w:rPr>
          <w:rStyle w:val="IvDbodytextChar"/>
          <w:rFonts w:eastAsia="DengXian"/>
          <w:spacing w:val="0"/>
          <w:sz w:val="20"/>
          <w:szCs w:val="20"/>
          <w:lang w:eastAsia="en-GB"/>
        </w:rPr>
        <w:t>CC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-TF’s ability to discover, establish trust with and exchange messages with the CC-POI.</w:t>
      </w:r>
    </w:p>
    <w:p w14:paraId="68B27B32" w14:textId="2FD01FA7" w:rsidR="00897988" w:rsidRDefault="00CF5D7D" w:rsidP="00C840BF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However, SA3-LI observes that presumably a similar set of challenges exist on N4 itself</w:t>
      </w:r>
      <w:r w:rsidR="00BC5D7A">
        <w:rPr>
          <w:rStyle w:val="IvDbodytextChar"/>
          <w:rFonts w:eastAsia="DengXian"/>
          <w:spacing w:val="0"/>
          <w:sz w:val="20"/>
          <w:szCs w:val="20"/>
          <w:lang w:eastAsia="en-GB"/>
        </w:rPr>
        <w:t>.</w:t>
      </w:r>
      <w:r w:rsidR="00C840BF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</w:t>
      </w:r>
      <w:r w:rsidR="00BC5D7A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It also </w:t>
      </w:r>
      <w:r w:rsidR="00C840BF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observes that the proposed solutions to Key Issue #1 in TR 33.757 all appear to involve the introduction of one or more dedicated gateway functions. Assuming that the behaviour and interfaces of these functions are defined in </w:t>
      </w:r>
      <w:r w:rsidR="00BC5D7A">
        <w:rPr>
          <w:rStyle w:val="IvDbodytextChar"/>
          <w:rFonts w:eastAsia="DengXian"/>
          <w:spacing w:val="0"/>
          <w:sz w:val="20"/>
          <w:szCs w:val="20"/>
          <w:lang w:eastAsia="en-GB"/>
        </w:rPr>
        <w:t>3GPP</w:t>
      </w:r>
      <w:r w:rsidR="00C840BF"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(as opposed to being left to implementation), then SA3-LI’s view is that it is likely that it will be possible to place an LI function within this gateway which has parallel responsibilities for proxying LI_T2/LI_T3.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</w:t>
      </w:r>
      <w:r w:rsidR="00C840BF">
        <w:rPr>
          <w:rStyle w:val="IvDbodytextChar"/>
          <w:rFonts w:eastAsia="DengXian"/>
          <w:spacing w:val="0"/>
          <w:sz w:val="20"/>
          <w:szCs w:val="20"/>
          <w:lang w:eastAsia="en-GB"/>
        </w:rPr>
        <w:t>The definition of this function would then be for SA3-LI to define.</w:t>
      </w:r>
    </w:p>
    <w:p w14:paraId="50DC66BF" w14:textId="317052AA" w:rsidR="00897988" w:rsidRPr="00BF1FDD" w:rsidRDefault="00C840BF" w:rsidP="009458BD">
      <w:pPr>
        <w:tabs>
          <w:tab w:val="left" w:pos="5103"/>
        </w:tabs>
        <w:spacing w:after="120"/>
        <w:rPr>
          <w:rStyle w:val="IvDbodytextChar"/>
          <w:rFonts w:eastAsia="DengXian"/>
          <w:spacing w:val="0"/>
          <w:sz w:val="20"/>
          <w:szCs w:val="20"/>
          <w:lang w:eastAsia="en-GB"/>
        </w:rPr>
      </w:pP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>SA3-LI kindly asks SA3 to confirm if SA3-LI’s understand</w:t>
      </w:r>
      <w:r w:rsidR="00A965C9">
        <w:rPr>
          <w:rStyle w:val="IvDbodytextChar"/>
          <w:rFonts w:eastAsia="DengXian"/>
          <w:spacing w:val="0"/>
          <w:sz w:val="20"/>
          <w:szCs w:val="20"/>
          <w:lang w:eastAsia="en-GB"/>
        </w:rPr>
        <w:t>ing</w:t>
      </w:r>
      <w:r>
        <w:rPr>
          <w:rStyle w:val="IvDbodytextChar"/>
          <w:rFonts w:eastAsia="DengXian"/>
          <w:spacing w:val="0"/>
          <w:sz w:val="20"/>
          <w:szCs w:val="20"/>
          <w:lang w:eastAsia="en-GB"/>
        </w:rPr>
        <w:t xml:space="preserve"> of the above is correct, and if any further clarifications are required to allow SA3 to continue their work.</w:t>
      </w:r>
    </w:p>
    <w:p w14:paraId="2B78BA17" w14:textId="77777777" w:rsidR="008D0D1B" w:rsidRPr="00AF0508" w:rsidRDefault="005F4A65" w:rsidP="00E03CF6">
      <w:pPr>
        <w:pStyle w:val="Heading1"/>
        <w:numPr>
          <w:ilvl w:val="0"/>
          <w:numId w:val="5"/>
        </w:numPr>
        <w:spacing w:after="0"/>
        <w:ind w:left="993" w:hanging="993"/>
        <w:rPr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Actions</w:t>
      </w:r>
    </w:p>
    <w:p w14:paraId="5187DD98" w14:textId="5348A9FF" w:rsidR="008D0D1B" w:rsidRPr="00B213DE" w:rsidRDefault="005F4A65">
      <w:pPr>
        <w:spacing w:after="12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 xml:space="preserve">To </w:t>
      </w:r>
      <w:r w:rsidR="00573B56">
        <w:rPr>
          <w:rFonts w:ascii="Arial" w:eastAsia="SimSun" w:hAnsi="Arial" w:cs="Arial"/>
          <w:b/>
          <w:sz w:val="20"/>
        </w:rPr>
        <w:t>SA</w:t>
      </w:r>
      <w:r w:rsidR="008F3034">
        <w:rPr>
          <w:rFonts w:ascii="Arial" w:eastAsia="SimSun" w:hAnsi="Arial" w:cs="Arial"/>
          <w:b/>
          <w:sz w:val="20"/>
        </w:rPr>
        <w:t>3</w:t>
      </w:r>
      <w:r w:rsidRPr="00B213DE">
        <w:rPr>
          <w:rFonts w:ascii="Arial" w:hAnsi="Arial" w:cs="Arial"/>
          <w:b/>
          <w:sz w:val="20"/>
        </w:rPr>
        <w:t>:</w:t>
      </w:r>
    </w:p>
    <w:p w14:paraId="644CF6DE" w14:textId="7908BAE2" w:rsidR="008D0D1B" w:rsidRPr="00CE656E" w:rsidRDefault="005F4A65">
      <w:pPr>
        <w:spacing w:after="120"/>
        <w:ind w:left="993" w:hanging="993"/>
        <w:rPr>
          <w:rStyle w:val="IvDbodytextChar"/>
          <w:rFonts w:ascii="Times New Roman" w:hAnsi="Times New Roman" w:cs="Times New Roman"/>
          <w:sz w:val="20"/>
        </w:rPr>
      </w:pPr>
      <w:r w:rsidRPr="00B213DE">
        <w:rPr>
          <w:rFonts w:ascii="Arial" w:hAnsi="Arial" w:cs="Arial"/>
          <w:b/>
          <w:sz w:val="20"/>
        </w:rPr>
        <w:lastRenderedPageBreak/>
        <w:t>ACTION:</w:t>
      </w:r>
      <w:r w:rsidRPr="00B213DE">
        <w:rPr>
          <w:sz w:val="20"/>
        </w:rPr>
        <w:t xml:space="preserve"> </w:t>
      </w:r>
      <w:r w:rsidRPr="00B213DE">
        <w:rPr>
          <w:sz w:val="20"/>
        </w:rPr>
        <w:tab/>
      </w:r>
      <w:r w:rsidR="00661F5A" w:rsidRPr="005D1DE2">
        <w:rPr>
          <w:rFonts w:ascii="Arial" w:eastAsia="DengXian" w:hAnsi="Arial" w:cs="Arial"/>
          <w:szCs w:val="20"/>
          <w:lang w:eastAsia="en-GB"/>
        </w:rPr>
        <w:t>SA3-LI kindly asks SA</w:t>
      </w:r>
      <w:r w:rsidR="00C840BF">
        <w:rPr>
          <w:rFonts w:ascii="Arial" w:eastAsia="DengXian" w:hAnsi="Arial" w:cs="Arial"/>
          <w:szCs w:val="20"/>
          <w:lang w:eastAsia="en-GB"/>
        </w:rPr>
        <w:t>3</w:t>
      </w:r>
      <w:r w:rsidR="00661F5A" w:rsidRPr="005D1DE2">
        <w:rPr>
          <w:rFonts w:ascii="Arial" w:eastAsia="DengXian" w:hAnsi="Arial" w:cs="Arial"/>
          <w:szCs w:val="20"/>
          <w:lang w:eastAsia="en-GB"/>
        </w:rPr>
        <w:t xml:space="preserve"> to </w:t>
      </w:r>
      <w:r w:rsidR="00562E3E">
        <w:rPr>
          <w:rFonts w:ascii="Arial" w:eastAsia="DengXian" w:hAnsi="Arial" w:cs="Arial"/>
          <w:szCs w:val="20"/>
          <w:lang w:eastAsia="en-GB"/>
        </w:rPr>
        <w:t xml:space="preserve">clarify if SA3-LI’s understanding of the likely solutions to Key Issue #1 is correct, </w:t>
      </w:r>
      <w:r w:rsidR="00C840BF">
        <w:rPr>
          <w:rFonts w:ascii="Arial" w:eastAsia="DengXian" w:hAnsi="Arial" w:cs="Arial"/>
          <w:szCs w:val="20"/>
          <w:lang w:eastAsia="en-GB"/>
        </w:rPr>
        <w:t>and to inform SA3-LI if any further clarifications are required to enable SA3’s work to progress</w:t>
      </w:r>
      <w:r w:rsidR="00555B4D" w:rsidRPr="005D1DE2">
        <w:rPr>
          <w:rFonts w:ascii="Arial" w:eastAsia="DengXian" w:hAnsi="Arial" w:cs="Arial"/>
          <w:szCs w:val="20"/>
          <w:lang w:eastAsia="en-GB"/>
        </w:rPr>
        <w:t>.</w:t>
      </w:r>
    </w:p>
    <w:p w14:paraId="1BB74351" w14:textId="62827B1B" w:rsidR="00555B4D" w:rsidRPr="00B213DE" w:rsidRDefault="00555B4D" w:rsidP="00661F5A">
      <w:pPr>
        <w:spacing w:after="120"/>
        <w:rPr>
          <w:rStyle w:val="IvDbodytextChar"/>
          <w:rFonts w:eastAsia="Calibri" w:cs="Calibri"/>
          <w:sz w:val="20"/>
        </w:rPr>
      </w:pPr>
    </w:p>
    <w:p w14:paraId="36E98384" w14:textId="77777777" w:rsidR="00CE656E" w:rsidRPr="00AF0508" w:rsidRDefault="00CE656E" w:rsidP="00A35281">
      <w:pPr>
        <w:pStyle w:val="Heading1"/>
        <w:spacing w:after="0"/>
        <w:rPr>
          <w:rFonts w:ascii="Arial" w:hAnsi="Arial" w:cs="Arial"/>
          <w:b w:val="0"/>
          <w:sz w:val="36"/>
          <w:szCs w:val="36"/>
        </w:rPr>
      </w:pPr>
      <w:r w:rsidRPr="00AF0508">
        <w:rPr>
          <w:rFonts w:ascii="Arial" w:hAnsi="Arial" w:cs="Arial"/>
          <w:b w:val="0"/>
          <w:sz w:val="36"/>
          <w:szCs w:val="36"/>
        </w:rPr>
        <w:t>3</w:t>
      </w:r>
      <w:r w:rsidRPr="00AF0508">
        <w:rPr>
          <w:rFonts w:ascii="Arial" w:hAnsi="Arial" w:cs="Arial"/>
          <w:b w:val="0"/>
          <w:sz w:val="36"/>
          <w:szCs w:val="36"/>
        </w:rPr>
        <w:tab/>
        <w:t>Dates of next SA3-LI meetings</w:t>
      </w:r>
    </w:p>
    <w:p w14:paraId="376732F3" w14:textId="41CF1144" w:rsidR="00CE656E" w:rsidRPr="00C65287" w:rsidRDefault="00CE656E" w:rsidP="00CE656E">
      <w:pPr>
        <w:rPr>
          <w:rFonts w:ascii="Arial" w:eastAsia="DengXian" w:hAnsi="Arial" w:cs="Arial"/>
          <w:szCs w:val="20"/>
          <w:lang w:eastAsia="en-GB"/>
        </w:rPr>
      </w:pPr>
      <w:r w:rsidRPr="00C65287">
        <w:rPr>
          <w:rFonts w:ascii="Arial" w:eastAsia="DengXian" w:hAnsi="Arial" w:cs="Arial"/>
          <w:szCs w:val="20"/>
          <w:lang w:eastAsia="en-GB"/>
        </w:rPr>
        <w:t>SA3#95-LI</w:t>
      </w:r>
      <w:r w:rsidR="006211D0">
        <w:rPr>
          <w:rFonts w:ascii="Arial" w:eastAsia="DengXian" w:hAnsi="Arial" w:cs="Arial"/>
          <w:szCs w:val="20"/>
          <w:lang w:eastAsia="en-GB"/>
        </w:rPr>
        <w:tab/>
      </w:r>
      <w:r w:rsidRPr="00C65287">
        <w:rPr>
          <w:rFonts w:ascii="Arial" w:eastAsia="DengXian" w:hAnsi="Arial" w:cs="Arial"/>
          <w:szCs w:val="20"/>
          <w:lang w:eastAsia="en-GB"/>
        </w:rPr>
        <w:t>29 October – 1 November 2024</w:t>
      </w:r>
      <w:r w:rsidRPr="00C65287">
        <w:rPr>
          <w:rFonts w:ascii="Arial" w:eastAsia="DengXian" w:hAnsi="Arial" w:cs="Arial"/>
          <w:szCs w:val="20"/>
          <w:lang w:eastAsia="en-GB"/>
        </w:rPr>
        <w:tab/>
        <w:t>Las Vegas, NV (US)</w:t>
      </w:r>
    </w:p>
    <w:p w14:paraId="0D1A5F82" w14:textId="6B75CD22" w:rsidR="00CE656E" w:rsidRPr="00C65287" w:rsidRDefault="00CE656E" w:rsidP="00CE656E">
      <w:pPr>
        <w:rPr>
          <w:rFonts w:ascii="Arial" w:eastAsia="DengXian" w:hAnsi="Arial" w:cs="Arial"/>
          <w:szCs w:val="20"/>
          <w:lang w:eastAsia="en-GB"/>
        </w:rPr>
      </w:pPr>
      <w:r w:rsidRPr="00C65287">
        <w:rPr>
          <w:rFonts w:ascii="Arial" w:eastAsia="DengXian" w:hAnsi="Arial" w:cs="Arial"/>
          <w:szCs w:val="20"/>
          <w:lang w:eastAsia="en-GB"/>
        </w:rPr>
        <w:t>SA3#96-LI</w:t>
      </w:r>
      <w:r w:rsidRPr="00C65287">
        <w:rPr>
          <w:rFonts w:ascii="Arial" w:eastAsia="DengXian" w:hAnsi="Arial" w:cs="Arial"/>
          <w:szCs w:val="20"/>
          <w:lang w:eastAsia="en-GB"/>
        </w:rPr>
        <w:tab/>
        <w:t>28 – 31 January 2025</w:t>
      </w:r>
      <w:r w:rsidRPr="00C65287">
        <w:rPr>
          <w:rFonts w:ascii="Arial" w:eastAsia="DengXian" w:hAnsi="Arial" w:cs="Arial"/>
          <w:szCs w:val="20"/>
          <w:lang w:eastAsia="en-GB"/>
        </w:rPr>
        <w:tab/>
      </w:r>
      <w:r w:rsidRPr="00C65287">
        <w:rPr>
          <w:rFonts w:ascii="Arial" w:eastAsia="DengXian" w:hAnsi="Arial" w:cs="Arial"/>
          <w:szCs w:val="20"/>
          <w:lang w:eastAsia="en-GB"/>
        </w:rPr>
        <w:tab/>
      </w:r>
      <w:r w:rsidR="005F049D">
        <w:rPr>
          <w:rFonts w:ascii="Arial" w:eastAsia="DengXian" w:hAnsi="Arial" w:cs="Arial"/>
          <w:szCs w:val="20"/>
          <w:lang w:eastAsia="en-GB"/>
        </w:rPr>
        <w:tab/>
      </w:r>
      <w:r w:rsidRPr="00C65287">
        <w:rPr>
          <w:rFonts w:ascii="Arial" w:eastAsia="DengXian" w:hAnsi="Arial" w:cs="Arial"/>
          <w:szCs w:val="20"/>
          <w:lang w:eastAsia="en-GB"/>
        </w:rPr>
        <w:t>Sophia Antipolis, France</w:t>
      </w:r>
    </w:p>
    <w:p w14:paraId="34E01891" w14:textId="22C9E882" w:rsidR="00CA5B4B" w:rsidRPr="00FF26F5" w:rsidRDefault="00CA5B4B" w:rsidP="00CE656E">
      <w:pPr>
        <w:pStyle w:val="Heading1"/>
        <w:rPr>
          <w:rFonts w:ascii="Arial" w:hAnsi="Arial" w:cs="Arial"/>
          <w:bCs w:val="0"/>
          <w:sz w:val="20"/>
        </w:rPr>
      </w:pPr>
    </w:p>
    <w:sectPr w:rsidR="00CA5B4B" w:rsidRPr="00FF26F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14EE5" w14:textId="77777777" w:rsidR="000C179E" w:rsidRDefault="000C179E">
      <w:r>
        <w:separator/>
      </w:r>
    </w:p>
  </w:endnote>
  <w:endnote w:type="continuationSeparator" w:id="0">
    <w:p w14:paraId="334C8EA4" w14:textId="77777777" w:rsidR="000C179E" w:rsidRDefault="000C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66E4" w14:textId="77777777" w:rsidR="000C179E" w:rsidRDefault="000C179E">
      <w:r>
        <w:separator/>
      </w:r>
    </w:p>
  </w:footnote>
  <w:footnote w:type="continuationSeparator" w:id="0">
    <w:p w14:paraId="19C6274E" w14:textId="77777777" w:rsidR="000C179E" w:rsidRDefault="000C1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FA743F"/>
    <w:multiLevelType w:val="hybridMultilevel"/>
    <w:tmpl w:val="2814D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C56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317473">
    <w:abstractNumId w:val="13"/>
  </w:num>
  <w:num w:numId="2" w16cid:durableId="586692984">
    <w:abstractNumId w:val="8"/>
  </w:num>
  <w:num w:numId="3" w16cid:durableId="1279141159">
    <w:abstractNumId w:val="10"/>
  </w:num>
  <w:num w:numId="4" w16cid:durableId="1018239953">
    <w:abstractNumId w:val="4"/>
  </w:num>
  <w:num w:numId="5" w16cid:durableId="688526651">
    <w:abstractNumId w:val="1"/>
  </w:num>
  <w:num w:numId="6" w16cid:durableId="1870364647">
    <w:abstractNumId w:val="6"/>
  </w:num>
  <w:num w:numId="7" w16cid:durableId="167984704">
    <w:abstractNumId w:val="3"/>
  </w:num>
  <w:num w:numId="8" w16cid:durableId="1280337499">
    <w:abstractNumId w:val="2"/>
  </w:num>
  <w:num w:numId="9" w16cid:durableId="155341845">
    <w:abstractNumId w:val="5"/>
  </w:num>
  <w:num w:numId="10" w16cid:durableId="364453432">
    <w:abstractNumId w:val="14"/>
  </w:num>
  <w:num w:numId="11" w16cid:durableId="435557727">
    <w:abstractNumId w:val="0"/>
  </w:num>
  <w:num w:numId="12" w16cid:durableId="1519810426">
    <w:abstractNumId w:val="11"/>
  </w:num>
  <w:num w:numId="13" w16cid:durableId="1026835962">
    <w:abstractNumId w:val="15"/>
  </w:num>
  <w:num w:numId="14" w16cid:durableId="354036823">
    <w:abstractNumId w:val="16"/>
  </w:num>
  <w:num w:numId="15" w16cid:durableId="1528521345">
    <w:abstractNumId w:val="7"/>
  </w:num>
  <w:num w:numId="16" w16cid:durableId="1604148834">
    <w:abstractNumId w:val="12"/>
  </w:num>
  <w:num w:numId="17" w16cid:durableId="20038481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FF7D2FBB"/>
    <w:rsid w:val="0000015E"/>
    <w:rsid w:val="00001C25"/>
    <w:rsid w:val="00001D67"/>
    <w:rsid w:val="000046E6"/>
    <w:rsid w:val="000055EA"/>
    <w:rsid w:val="00006D26"/>
    <w:rsid w:val="000071DA"/>
    <w:rsid w:val="00007E61"/>
    <w:rsid w:val="000150DC"/>
    <w:rsid w:val="000175A1"/>
    <w:rsid w:val="000206A1"/>
    <w:rsid w:val="00033F6F"/>
    <w:rsid w:val="000359F2"/>
    <w:rsid w:val="000420FE"/>
    <w:rsid w:val="000438AE"/>
    <w:rsid w:val="0005108C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90AC6"/>
    <w:rsid w:val="000919CA"/>
    <w:rsid w:val="000959A4"/>
    <w:rsid w:val="00096EF3"/>
    <w:rsid w:val="000A3286"/>
    <w:rsid w:val="000A5B17"/>
    <w:rsid w:val="000A5F20"/>
    <w:rsid w:val="000B2785"/>
    <w:rsid w:val="000B58E4"/>
    <w:rsid w:val="000B6D15"/>
    <w:rsid w:val="000B7EF0"/>
    <w:rsid w:val="000C0E1A"/>
    <w:rsid w:val="000C16FC"/>
    <w:rsid w:val="000C179E"/>
    <w:rsid w:val="000C1FAC"/>
    <w:rsid w:val="000C26DC"/>
    <w:rsid w:val="000C2D5C"/>
    <w:rsid w:val="000C58CC"/>
    <w:rsid w:val="000C61F7"/>
    <w:rsid w:val="000D23B0"/>
    <w:rsid w:val="000D2B72"/>
    <w:rsid w:val="000D31D7"/>
    <w:rsid w:val="000D46E1"/>
    <w:rsid w:val="000D4E0B"/>
    <w:rsid w:val="000D7835"/>
    <w:rsid w:val="000E2FBD"/>
    <w:rsid w:val="000E69C0"/>
    <w:rsid w:val="000E6CA4"/>
    <w:rsid w:val="000F2265"/>
    <w:rsid w:val="000F370A"/>
    <w:rsid w:val="0011475C"/>
    <w:rsid w:val="00114DE4"/>
    <w:rsid w:val="00117B1A"/>
    <w:rsid w:val="00124750"/>
    <w:rsid w:val="00127CA7"/>
    <w:rsid w:val="00127F23"/>
    <w:rsid w:val="001376CF"/>
    <w:rsid w:val="00142E2A"/>
    <w:rsid w:val="00143674"/>
    <w:rsid w:val="00144930"/>
    <w:rsid w:val="001453E7"/>
    <w:rsid w:val="00146331"/>
    <w:rsid w:val="00154F04"/>
    <w:rsid w:val="00156EDA"/>
    <w:rsid w:val="001570CE"/>
    <w:rsid w:val="00166AF4"/>
    <w:rsid w:val="00167A87"/>
    <w:rsid w:val="00170644"/>
    <w:rsid w:val="00170DA0"/>
    <w:rsid w:val="0017293B"/>
    <w:rsid w:val="00176624"/>
    <w:rsid w:val="00181177"/>
    <w:rsid w:val="00182C5A"/>
    <w:rsid w:val="00182EAF"/>
    <w:rsid w:val="001838AD"/>
    <w:rsid w:val="00184B56"/>
    <w:rsid w:val="00190B20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E4F"/>
    <w:rsid w:val="001E0FDB"/>
    <w:rsid w:val="001E172F"/>
    <w:rsid w:val="001E2E1B"/>
    <w:rsid w:val="001F0D6A"/>
    <w:rsid w:val="001F29E8"/>
    <w:rsid w:val="001F2C29"/>
    <w:rsid w:val="001F37FE"/>
    <w:rsid w:val="001F5252"/>
    <w:rsid w:val="001F5E7A"/>
    <w:rsid w:val="001F7DAF"/>
    <w:rsid w:val="00201539"/>
    <w:rsid w:val="00202529"/>
    <w:rsid w:val="00202622"/>
    <w:rsid w:val="00205327"/>
    <w:rsid w:val="002118E9"/>
    <w:rsid w:val="00211BB7"/>
    <w:rsid w:val="00215373"/>
    <w:rsid w:val="00217B8D"/>
    <w:rsid w:val="00221CD8"/>
    <w:rsid w:val="0023049C"/>
    <w:rsid w:val="00231912"/>
    <w:rsid w:val="0023533C"/>
    <w:rsid w:val="00245674"/>
    <w:rsid w:val="002506A5"/>
    <w:rsid w:val="00252C46"/>
    <w:rsid w:val="0026577B"/>
    <w:rsid w:val="0027110A"/>
    <w:rsid w:val="002732DF"/>
    <w:rsid w:val="0029411E"/>
    <w:rsid w:val="00296EB4"/>
    <w:rsid w:val="002973F0"/>
    <w:rsid w:val="002A0DC7"/>
    <w:rsid w:val="002A211A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1ED5"/>
    <w:rsid w:val="002E4CD6"/>
    <w:rsid w:val="002E5AB0"/>
    <w:rsid w:val="002E6F9E"/>
    <w:rsid w:val="002E7A65"/>
    <w:rsid w:val="002E7C7E"/>
    <w:rsid w:val="002F3AD8"/>
    <w:rsid w:val="002F63EE"/>
    <w:rsid w:val="002F6C90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411C"/>
    <w:rsid w:val="00356657"/>
    <w:rsid w:val="003574B8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C28"/>
    <w:rsid w:val="00397D8A"/>
    <w:rsid w:val="003A1D7F"/>
    <w:rsid w:val="003A2707"/>
    <w:rsid w:val="003A51FC"/>
    <w:rsid w:val="003A63B5"/>
    <w:rsid w:val="003B1DDA"/>
    <w:rsid w:val="003B2B3B"/>
    <w:rsid w:val="003B4FB2"/>
    <w:rsid w:val="003B5EC8"/>
    <w:rsid w:val="003B7FD9"/>
    <w:rsid w:val="003C4BE2"/>
    <w:rsid w:val="003D02D6"/>
    <w:rsid w:val="003D08AE"/>
    <w:rsid w:val="003D2E14"/>
    <w:rsid w:val="003D5395"/>
    <w:rsid w:val="003E2D35"/>
    <w:rsid w:val="003E62B6"/>
    <w:rsid w:val="003E76AF"/>
    <w:rsid w:val="003F03AF"/>
    <w:rsid w:val="003F2F88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15A01"/>
    <w:rsid w:val="00423ED3"/>
    <w:rsid w:val="00430388"/>
    <w:rsid w:val="0043191F"/>
    <w:rsid w:val="00432AB8"/>
    <w:rsid w:val="00437E9B"/>
    <w:rsid w:val="00441665"/>
    <w:rsid w:val="004433E7"/>
    <w:rsid w:val="00444890"/>
    <w:rsid w:val="00444DF7"/>
    <w:rsid w:val="004513DB"/>
    <w:rsid w:val="00451A66"/>
    <w:rsid w:val="00461AFE"/>
    <w:rsid w:val="004667C4"/>
    <w:rsid w:val="00471AC3"/>
    <w:rsid w:val="00477260"/>
    <w:rsid w:val="00485018"/>
    <w:rsid w:val="00487978"/>
    <w:rsid w:val="00494BE6"/>
    <w:rsid w:val="00495FD6"/>
    <w:rsid w:val="004A038E"/>
    <w:rsid w:val="004A2794"/>
    <w:rsid w:val="004A455E"/>
    <w:rsid w:val="004B27EE"/>
    <w:rsid w:val="004B3F92"/>
    <w:rsid w:val="004B5141"/>
    <w:rsid w:val="004B5ECC"/>
    <w:rsid w:val="004C3D5B"/>
    <w:rsid w:val="004C7A18"/>
    <w:rsid w:val="004D314D"/>
    <w:rsid w:val="004D52F3"/>
    <w:rsid w:val="004E37F4"/>
    <w:rsid w:val="004E4844"/>
    <w:rsid w:val="004E645C"/>
    <w:rsid w:val="004F7DCC"/>
    <w:rsid w:val="00501FFB"/>
    <w:rsid w:val="00504104"/>
    <w:rsid w:val="0050711A"/>
    <w:rsid w:val="00510E72"/>
    <w:rsid w:val="005126E6"/>
    <w:rsid w:val="00516416"/>
    <w:rsid w:val="00522CF5"/>
    <w:rsid w:val="00523B81"/>
    <w:rsid w:val="005245AA"/>
    <w:rsid w:val="00524A87"/>
    <w:rsid w:val="00530731"/>
    <w:rsid w:val="005313F3"/>
    <w:rsid w:val="0054168E"/>
    <w:rsid w:val="00550997"/>
    <w:rsid w:val="00555754"/>
    <w:rsid w:val="00555B4D"/>
    <w:rsid w:val="0055688F"/>
    <w:rsid w:val="00557363"/>
    <w:rsid w:val="00562E3E"/>
    <w:rsid w:val="00567D77"/>
    <w:rsid w:val="00573B56"/>
    <w:rsid w:val="005854F7"/>
    <w:rsid w:val="0059054D"/>
    <w:rsid w:val="005A63D3"/>
    <w:rsid w:val="005A7BFB"/>
    <w:rsid w:val="005B2039"/>
    <w:rsid w:val="005D1DE2"/>
    <w:rsid w:val="005D1F59"/>
    <w:rsid w:val="005D6D10"/>
    <w:rsid w:val="005E35BE"/>
    <w:rsid w:val="005E6E70"/>
    <w:rsid w:val="005F049D"/>
    <w:rsid w:val="005F0F61"/>
    <w:rsid w:val="005F3B87"/>
    <w:rsid w:val="005F4A65"/>
    <w:rsid w:val="005F540E"/>
    <w:rsid w:val="0060054B"/>
    <w:rsid w:val="006009E4"/>
    <w:rsid w:val="006031D8"/>
    <w:rsid w:val="006151C6"/>
    <w:rsid w:val="00617801"/>
    <w:rsid w:val="006178F6"/>
    <w:rsid w:val="006211D0"/>
    <w:rsid w:val="00621699"/>
    <w:rsid w:val="00622A6B"/>
    <w:rsid w:val="006253E1"/>
    <w:rsid w:val="006264C7"/>
    <w:rsid w:val="0063064A"/>
    <w:rsid w:val="0063321D"/>
    <w:rsid w:val="00633F77"/>
    <w:rsid w:val="006352FB"/>
    <w:rsid w:val="0063640D"/>
    <w:rsid w:val="00641192"/>
    <w:rsid w:val="006566B6"/>
    <w:rsid w:val="006569FA"/>
    <w:rsid w:val="00660D48"/>
    <w:rsid w:val="00661F5A"/>
    <w:rsid w:val="0066429E"/>
    <w:rsid w:val="0066539E"/>
    <w:rsid w:val="0067239A"/>
    <w:rsid w:val="00672EEC"/>
    <w:rsid w:val="006738F6"/>
    <w:rsid w:val="00677D2C"/>
    <w:rsid w:val="006811FB"/>
    <w:rsid w:val="00681C75"/>
    <w:rsid w:val="00685004"/>
    <w:rsid w:val="00686137"/>
    <w:rsid w:val="00693366"/>
    <w:rsid w:val="006A216D"/>
    <w:rsid w:val="006A3B0D"/>
    <w:rsid w:val="006A4261"/>
    <w:rsid w:val="006B0123"/>
    <w:rsid w:val="006B6308"/>
    <w:rsid w:val="006C02EA"/>
    <w:rsid w:val="006D0F9A"/>
    <w:rsid w:val="006D4800"/>
    <w:rsid w:val="006E48BD"/>
    <w:rsid w:val="006E495D"/>
    <w:rsid w:val="006E5D30"/>
    <w:rsid w:val="006E645E"/>
    <w:rsid w:val="006E70F8"/>
    <w:rsid w:val="006E7386"/>
    <w:rsid w:val="006F14A0"/>
    <w:rsid w:val="006F1D6F"/>
    <w:rsid w:val="006F25A9"/>
    <w:rsid w:val="006F5106"/>
    <w:rsid w:val="00700583"/>
    <w:rsid w:val="007035C3"/>
    <w:rsid w:val="00706339"/>
    <w:rsid w:val="0070682F"/>
    <w:rsid w:val="007101BD"/>
    <w:rsid w:val="007108FA"/>
    <w:rsid w:val="00723B23"/>
    <w:rsid w:val="00724D00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71C55"/>
    <w:rsid w:val="00772E4E"/>
    <w:rsid w:val="00773ADD"/>
    <w:rsid w:val="00773D26"/>
    <w:rsid w:val="00780298"/>
    <w:rsid w:val="00780AE3"/>
    <w:rsid w:val="00781341"/>
    <w:rsid w:val="00797CBE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48E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55F8"/>
    <w:rsid w:val="00830CB2"/>
    <w:rsid w:val="008320C8"/>
    <w:rsid w:val="00833C87"/>
    <w:rsid w:val="00834B60"/>
    <w:rsid w:val="00840EDB"/>
    <w:rsid w:val="008413AA"/>
    <w:rsid w:val="00842F58"/>
    <w:rsid w:val="008449AA"/>
    <w:rsid w:val="008473A6"/>
    <w:rsid w:val="008534F0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97988"/>
    <w:rsid w:val="008A17DB"/>
    <w:rsid w:val="008A21DD"/>
    <w:rsid w:val="008A4F71"/>
    <w:rsid w:val="008A5192"/>
    <w:rsid w:val="008A759F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3034"/>
    <w:rsid w:val="008F46EE"/>
    <w:rsid w:val="00900E96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20E4"/>
    <w:rsid w:val="0094378B"/>
    <w:rsid w:val="009458BD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B3B3D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5281"/>
    <w:rsid w:val="00A35970"/>
    <w:rsid w:val="00A3620F"/>
    <w:rsid w:val="00A3702F"/>
    <w:rsid w:val="00A37DF5"/>
    <w:rsid w:val="00A41806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946B8"/>
    <w:rsid w:val="00A965C9"/>
    <w:rsid w:val="00AA2C71"/>
    <w:rsid w:val="00AA5AB8"/>
    <w:rsid w:val="00AB3EAA"/>
    <w:rsid w:val="00AB5D5F"/>
    <w:rsid w:val="00AD16C1"/>
    <w:rsid w:val="00AD6270"/>
    <w:rsid w:val="00AE5030"/>
    <w:rsid w:val="00AE5816"/>
    <w:rsid w:val="00AE7CD5"/>
    <w:rsid w:val="00AF0508"/>
    <w:rsid w:val="00AF1596"/>
    <w:rsid w:val="00AF1E68"/>
    <w:rsid w:val="00AF6823"/>
    <w:rsid w:val="00AF75AC"/>
    <w:rsid w:val="00B02856"/>
    <w:rsid w:val="00B03E5E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343F3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2121"/>
    <w:rsid w:val="00B85D92"/>
    <w:rsid w:val="00B900E4"/>
    <w:rsid w:val="00B93558"/>
    <w:rsid w:val="00B94B99"/>
    <w:rsid w:val="00BA1927"/>
    <w:rsid w:val="00BA28C4"/>
    <w:rsid w:val="00BA43B1"/>
    <w:rsid w:val="00BB01C1"/>
    <w:rsid w:val="00BB11CA"/>
    <w:rsid w:val="00BC07C7"/>
    <w:rsid w:val="00BC278B"/>
    <w:rsid w:val="00BC5D7A"/>
    <w:rsid w:val="00BC6EC1"/>
    <w:rsid w:val="00BD3C19"/>
    <w:rsid w:val="00BD435E"/>
    <w:rsid w:val="00BD5C30"/>
    <w:rsid w:val="00BE23B1"/>
    <w:rsid w:val="00BE2CBA"/>
    <w:rsid w:val="00BE6064"/>
    <w:rsid w:val="00BF1FDD"/>
    <w:rsid w:val="00BF2187"/>
    <w:rsid w:val="00BF6FC3"/>
    <w:rsid w:val="00C0074F"/>
    <w:rsid w:val="00C018BB"/>
    <w:rsid w:val="00C02166"/>
    <w:rsid w:val="00C0406C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54F0"/>
    <w:rsid w:val="00C57161"/>
    <w:rsid w:val="00C607BE"/>
    <w:rsid w:val="00C64FC2"/>
    <w:rsid w:val="00C65287"/>
    <w:rsid w:val="00C65863"/>
    <w:rsid w:val="00C66586"/>
    <w:rsid w:val="00C66B23"/>
    <w:rsid w:val="00C74CAA"/>
    <w:rsid w:val="00C80BD5"/>
    <w:rsid w:val="00C81F6C"/>
    <w:rsid w:val="00C832BB"/>
    <w:rsid w:val="00C840BF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5518"/>
    <w:rsid w:val="00CB7B78"/>
    <w:rsid w:val="00CC025D"/>
    <w:rsid w:val="00CC0A6D"/>
    <w:rsid w:val="00CC7D2A"/>
    <w:rsid w:val="00CD2997"/>
    <w:rsid w:val="00CD5CA3"/>
    <w:rsid w:val="00CE656E"/>
    <w:rsid w:val="00CF37D5"/>
    <w:rsid w:val="00CF486D"/>
    <w:rsid w:val="00CF5D7D"/>
    <w:rsid w:val="00CF5F52"/>
    <w:rsid w:val="00CF6A9D"/>
    <w:rsid w:val="00D01F9D"/>
    <w:rsid w:val="00D023A9"/>
    <w:rsid w:val="00D10735"/>
    <w:rsid w:val="00D14ABA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5F1D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E5B"/>
    <w:rsid w:val="00DC6D81"/>
    <w:rsid w:val="00DC7B5E"/>
    <w:rsid w:val="00DD5B6C"/>
    <w:rsid w:val="00DD663D"/>
    <w:rsid w:val="00DE2375"/>
    <w:rsid w:val="00DE3414"/>
    <w:rsid w:val="00DE3A6B"/>
    <w:rsid w:val="00DE7F12"/>
    <w:rsid w:val="00DF1854"/>
    <w:rsid w:val="00DF2291"/>
    <w:rsid w:val="00DF26C1"/>
    <w:rsid w:val="00DF34C8"/>
    <w:rsid w:val="00DF5B15"/>
    <w:rsid w:val="00DF65A3"/>
    <w:rsid w:val="00E00328"/>
    <w:rsid w:val="00E03CF6"/>
    <w:rsid w:val="00E042DC"/>
    <w:rsid w:val="00E12EE6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074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6F33"/>
    <w:rsid w:val="00F20904"/>
    <w:rsid w:val="00F238EC"/>
    <w:rsid w:val="00F24B9B"/>
    <w:rsid w:val="00F2753C"/>
    <w:rsid w:val="00F306A5"/>
    <w:rsid w:val="00F325C2"/>
    <w:rsid w:val="00F35735"/>
    <w:rsid w:val="00F42973"/>
    <w:rsid w:val="00F43D52"/>
    <w:rsid w:val="00F44865"/>
    <w:rsid w:val="00F4780B"/>
    <w:rsid w:val="00F51FF8"/>
    <w:rsid w:val="00F56958"/>
    <w:rsid w:val="00F57A1F"/>
    <w:rsid w:val="00F57C64"/>
    <w:rsid w:val="00F62EE2"/>
    <w:rsid w:val="00F6478A"/>
    <w:rsid w:val="00F652BD"/>
    <w:rsid w:val="00F65A52"/>
    <w:rsid w:val="00F66AD9"/>
    <w:rsid w:val="00F73255"/>
    <w:rsid w:val="00F73CBD"/>
    <w:rsid w:val="00F74B6F"/>
    <w:rsid w:val="00F751F1"/>
    <w:rsid w:val="00F77630"/>
    <w:rsid w:val="00F8197B"/>
    <w:rsid w:val="00F83EC5"/>
    <w:rsid w:val="00F844E2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A6BD6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0FF51AB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75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67D"/>
    <w:pPr>
      <w:keepNext/>
      <w:keepLines/>
      <w:spacing w:before="340" w:after="330" w:line="578" w:lineRule="auto"/>
      <w:outlineLvl w:val="0"/>
    </w:pPr>
    <w:rPr>
      <w:rFonts w:eastAsia="SimSun"/>
      <w:b/>
      <w:bCs/>
      <w:kern w:val="44"/>
      <w:sz w:val="32"/>
      <w:szCs w:val="44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5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575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cs="Times New Roma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Normal"/>
    <w:link w:val="B1Char"/>
    <w:qFormat/>
    <w:rsid w:val="0055575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555754"/>
    <w:rPr>
      <w:rFonts w:eastAsia="Times New Roman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5567D"/>
    <w:rPr>
      <w:rFonts w:asciiTheme="minorHAnsi" w:hAnsiTheme="minorHAnsi" w:cstheme="minorBidi"/>
      <w:b/>
      <w:bCs/>
      <w:kern w:val="44"/>
      <w:sz w:val="32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CRCoverPageZchn">
    <w:name w:val="CR Cover Page Zchn"/>
    <w:link w:val="CRCoverPage"/>
    <w:qFormat/>
    <w:locked/>
    <w:rsid w:val="00F844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41564E-A0B6-4803-813B-2981FEA3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2002-04-23T15:10:00Z</cp:lastPrinted>
  <dcterms:created xsi:type="dcterms:W3CDTF">2024-07-29T06:38:00Z</dcterms:created>
  <dcterms:modified xsi:type="dcterms:W3CDTF">2024-07-29T06:38:00Z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